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ПОЯСНИТЕЛЬНАЯ ЗАПИСКА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00"/>
        <w:rPr>
          <w:rFonts w:ascii="PT Astra Serif" w:hAnsi="PT Astra Serif"/>
          <w:b/>
          <w:bCs/>
          <w:highlight w:val="none"/>
        </w:rPr>
      </w:pPr>
      <w:r>
        <w:rPr>
          <w:rFonts w:ascii="PT Astra Serif" w:hAnsi="PT Astra Serif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/>
        </w:sdtPr>
        <w:sdtContent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b/>
              <w:bCs/>
              <w:szCs w:val="28"/>
            </w:rPr>
            <w:t xml:space="preserve">Проекту распоряжения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Cs w:val="28"/>
        </w:rPr>
        <w:t xml:space="preserve"> «</w:t>
      </w:r>
      <w:sdt>
        <w:sdtPr>
          <w:alias w:val="Заголовок"/>
          <w15:appearance w15:val="boundingBox"/>
          <w:lock w:val="unlocked"/>
          <w:placeholder>
            <w:docPart w:val="7ac93092d845464581a5a2b0f7dc4f41"/>
          </w:placeholder>
          <w:tag w:val="Заголовок"/>
          <w:rPr/>
        </w:sdtPr>
        <w:sdtContent>
          <w:r>
            <w:rPr>
              <w:rFonts w:ascii="PT Astra Serif" w:hAnsi="PT Astra Serif"/>
              <w:b/>
              <w:bCs/>
              <w:szCs w:val="28"/>
            </w:rPr>
          </w:r>
          <w:r>
            <w:rPr>
              <w:rFonts w:ascii="PT Astra Serif" w:hAnsi="PT Astra Serif"/>
              <w:b/>
              <w:bCs/>
              <w:szCs w:val="28"/>
            </w:rPr>
            <w:t xml:space="preserve">О внесении изменений в </w:t>
          </w:r>
        </w:sdtContent>
      </w:sdt>
      <w:r>
        <w:rPr>
          <w:rFonts w:ascii="PT Astra Serif" w:hAnsi="PT Astra Serif" w:eastAsia="Times New Roman"/>
          <w:b/>
          <w:bCs/>
          <w:szCs w:val="28"/>
          <w:lang w:eastAsia="ru-RU"/>
        </w:rPr>
        <w:t xml:space="preserve">статьи 1 и 2 Закона Удмуртской Республики </w:t>
      </w:r>
      <w:r>
        <w:rPr>
          <w:rFonts w:eastAsia="Times New Roman"/>
          <w:b/>
          <w:bCs/>
          <w:lang w:eastAsia="ru-RU"/>
        </w:rPr>
        <w:t xml:space="preserve">«О размещении нестационарных торговых объектов на территории</w:t>
        <w:br/>
      </w:r>
      <w:r>
        <w:rPr>
          <w:rFonts w:ascii="PT Astra Serif" w:hAnsi="PT Astra Serif" w:eastAsia="Times New Roman"/>
          <w:b/>
          <w:bCs/>
          <w:szCs w:val="28"/>
          <w:lang w:eastAsia="ru-RU"/>
        </w:rPr>
        <w:t xml:space="preserve">Удмуртской Республики»</w:t>
      </w:r>
      <w:r>
        <w:rPr>
          <w:rFonts w:ascii="PT Astra Serif" w:hAnsi="PT Astra Serif"/>
          <w:b/>
          <w:bCs/>
          <w:szCs w:val="28"/>
        </w:rPr>
      </w:r>
      <w:r>
        <w:rPr>
          <w:rFonts w:ascii="PT Astra Serif" w:hAnsi="PT Astra Serif"/>
          <w:b/>
          <w:bCs/>
          <w:highlight w:val="none"/>
        </w:rPr>
      </w:r>
    </w:p>
    <w:p>
      <w:pPr>
        <w:pStyle w:val="900"/>
      </w:pPr>
      <w:r>
        <w:rPr>
          <w:rFonts w:ascii="PT Astra Serif" w:hAnsi="PT Astra Serif"/>
          <w:b/>
          <w:bCs/>
          <w:szCs w:val="28"/>
          <w:highlight w:val="none"/>
        </w:rPr>
      </w:r>
      <w:r>
        <w:rPr>
          <w:rFonts w:ascii="PT Astra Serif" w:hAnsi="PT Astra Serif"/>
          <w:b/>
          <w:bCs/>
          <w:szCs w:val="28"/>
          <w:highlight w:val="none"/>
        </w:rPr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Представленным проектом предлагается одобрить проект закона Удмуртской Республики «О внесении изменений в статьи 1 и 2 Закона Удмуртской Республики «О размещении нестационарных торговых объектов на территории Удмуртской Республики» (далее –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законопроект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который подготовлен во исполнение пункта 2.1 Перечня поручений Главы Удмуртской Республики уполномоченным субъектам правового мониторинга о разработке проектов нормативных правовых актов Удмуртской Республики и осуществлении иных мер, направленных на со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вершенствование законодательства Удмуртской Республики и практики его правоприменения от 2 июня 2025 года № АБ11-01-32э/0603.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соответствии с пунктом 2 Плана мониторинга правоприменения законодательства Удмуртской Республики на 2024 год, утверждённого распоряжением Правительства Удмуртской Республики от 1 декабря 2023 года № 1277-р, в 2024 году Министерством промышленности и 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орговли Удмуртской Республики и Министерством имущественных отношений Удмуртской Республики во взаимодействии с Администраций Главы и Правительства Удмуртской Республики и органами местного самоуправления проводился мониторинг правоприменения Закона Удмурт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ской Республики от 5 октября 2018 года № 61-РЗ «О размещении нестационарных торговых объектов на территории Удмуртской Республики»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(далее –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Закон Удмуртской Республики № 61-РЗ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 в результате которого в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названном Законе Удмуртской Республики: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выявлена неопределённость в вопросе о наличии у Министерства промышленности и торговли Удмуртской Республики полномочий по установлению порядка разработки и утверждения схемы размещения нестационарных торговых объектов на территории муниципальных образо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ваний в Удмуртской Республике - в той части, в которой указанный порядок связан с размещением таких объектов в зданиях, строениях, сооружениях. С одной стороны, статья 3 Закона Удмуртской Республики № 61-РЗ указывает на наличие у Минпромторга УР по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лномочий по утверждению указанной схемы в целом, но, с другой стороны, предмет правового регулирования Закона Удмуртской Республики № 61-РЗ, определённый в его части 1 статьи 1, ограничен правоотношениями по размещению нестационарных торговых объектов на з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емлях и земельных участках, находящихся в собственности Удмуртской Республики или муниципальной собственности, а также на землях и земельных участках, государственная собственность на которые не разграничена – то есть не распространяется на правоотношения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 размещению нестационарных торговых объектов в зданиях, строениях, сооружениях, находящихся в собственности Удмуртской Республики или муниципальной собственности;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выявлена неоднозначность в толковании положений о заключении договора на размещение нестационарного торгового объекта если размещение такого объекта планируется в здании, строении или сооружении. Из содержания части 1 статьи 1, части 1 статьи 2 Закона 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дмуртской Республики № 61-РЗ следует, что установленное в его части 2 статьи 2 требование о заключении договора на размещение нестационарного торгового объекта применяется исключительно к случаям, когда такие объекты планируется разместить на землях и земе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льных участках. Однако, такая юридическая конструкция оказалась неочевидной для правоприменителей (органы местного самоуправления), которые столкнулись с вопросом о необходимости (отсутствии необходимости) заключения указанного договора не только в случае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размещения нестационарного торгового объекта на землях и земельных участках, но и в зданиях, строениях, сооружениях. Имеет место предположение, что в случае размещения нестационарного торгового объекта в здании, строении или сооружении должны быть заключен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ы два договора: и договор на размещение нестационарного торгового объекта, и договор аренды (безвозмездного пользования). В результате, отсутствие в части 2 статьи 2 Закона Удмуртской Республики № 61-РЗ однозначно сформулированного требования о необходимос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ти (либо об отсутствии необходимости) заключения договора на размещение нестационарного торгового объекта в здании, строении, сооружении привело к тому, что органы местного самоуправления предпочитают воздержаться от предоставления свободных площадей в зда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ниях, строениях, сооружениях, находящихся в муниципальной собственности, для размещения нестационарных торговых объектов несмотря на наличие некоторого спроса со стороны организаций и индивидуальных предпринимателей. 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2. В законопроекте предлагается устранить выявленные в Законе Удмуртской Республики № 61-РЗ недостатки следующим образом:</w:t>
      </w:r>
      <w:r/>
    </w:p>
    <w:p>
      <w:pPr>
        <w:ind w:left="0" w:right="0" w:firstLine="709"/>
        <w:jc w:val="both"/>
        <w:spacing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часть 1 статьи 1 названного Закона дополнить указанием на регулирование им, помимо прочего, правоотношений по размещению нестационарных торговых объектов в зданиях, строениях, сооружениях, находящихся в собственности Удмуртской Республики или муниципаль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ной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собственности (далее совместно –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здания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). Правовыми основаниями для внесения данного изменения: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части, направленной на исключение неоднозначности толкования вопроса о наличии у Министерства промышленности и торговли Удмуртской Республики полномочий по утверждению порядка разработки и утверждения схемы размещения нестационарных торговых объектов на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территории Удмуртской Республики, является часть 3 статьи 10 Федерального закона от 28 декабря 2009 года № 381-ФЗ «Об основах государственного регулирования торговой деятельности в Российской Федерации»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(далее –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Федеральный закон № 381-ФЗ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 согласно которой схема размещения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</w:t>
      </w:r>
      <w:r>
        <w:rPr>
          <w:rFonts w:ascii="PT Astra Serif" w:hAnsi="PT Astra Serif" w:eastAsia="PT Astra Serif" w:cs="PT Astra Serif"/>
          <w:i/>
          <w:color w:val="000000"/>
          <w:sz w:val="28"/>
        </w:rPr>
        <w:t xml:space="preserve"> порядке, установленном уполномоченным органом исполнительной власти субъекта Российской Федерации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. В свою очередь, согласно части 9 статьи 4 Федерального закона от 21 декабря 2021 года № 414-ФЗ «Об общих принципах организации публичной власти в субъектах Российской Федерации» полномочия органов государственной власти субъекта Российской Федерации уста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навливаются Конституцией Российской Федерации, названным Федеральным законом, другими федеральными законами, конституцией (уставом) и законами субъекта Российской Федерации;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части, направленной на распространение действия Закона Удмуртской Республики № 61-РЗ на правоотношения, связанные с размещением нестационарных торговых объектов в зданиях, является часть 2 статьи 10 Федерального закона № 381-ФЗ и пункт 1 Правил включения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утверждённых постановлением Правительства Российск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ой Федерации от 29 сентября 2010 года № 772 (далее –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Правила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предусматривающие установление уполномоченным органом исполнительной власти субъекта Российской Федерации порядка включения нестационарных торговых объектов, расположенных на земельных участках, в зданиях, строениях и сооружениях, находящихся в государс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твенной собственности (в собственности субъекта Российской Федерации) в схему размещения нестационарных торговых объектов;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часть 1 статьи 2 Закона Удмуртской Республики № 61-РЗ изложить в новой редакции, корреспондирующей изменениям, вносимым в его статью 1;</w:t>
      </w:r>
      <w:r/>
    </w:p>
    <w:p>
      <w:pPr>
        <w:ind w:left="0" w:right="0" w:firstLine="709"/>
        <w:jc w:val="both"/>
        <w:spacing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часть 2 статьи 2 Закона Удмуртской Республики № 61-РЗ изложить в новой редакции, прямо оговорив случаи, в которых заключается договор на размещение нестационарного торгового объекта. Предполагается, что в результате такого изменения части 3 - 8 статьи 2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, статьи 2.1 и 2.2 Закона Удмуртской Республики № 61-РЗ будут распространяться исключительно на правоотношения, связанные с заключением договора на размещение нестационарного торгового объекта для случаев их размещения на землях и земельных участках, наход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ящихся в собственности Удмуртской Республики или муниципальной собственности, а также на землях и земельных участках, государственная собственность на которые не разграничена, тогда как размещение нестационарных торговых объектов в зданиях будет осуществля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ться на основании других договоров, заключаемых в соответствии с Гражданским кодексом Российской Федерации и Федеральным законом от 26 июля 2006 года № 135-ФЗ «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О защите конкуренции» (далее –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Федеральный закон «О защите конкуренции»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Порядок заключения договора на размещение нестационарного торгового объекта в здании не может быть урегулирован в Законе Удмуртской Республики № 61-РЗ по следующим причинам: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абзацем первым пункта 1 и пунктом 3 статьи 17 Федерального закона «О защите конкуренции» в качестве общего правила установлено, что заключение договоров аренды, договоров безвозмездного пользования, договоров доверительного управления имуществом, иных дого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воров, предусматривающих переход прав владения и (или) пользования в отношении государственного или муниципального имущества, может быть осуществлено только по результатам проведения конкурсов или аукционов на право заключения этих договоров. При этом согл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асно пункту 5 статьи 17 Федерального закона «О защите конкуренции» порядок проведения таких конкурсов или аукционов устанавливается федеральным антимонопольным органом (в настоящее время такой порядок установлен приказом Федеральной антимонопольной службы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от 21 марта 2023 года № 147/23);</w:t>
      </w:r>
      <w:r/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порядок заключения договоров урегулирован Гражданским кодексом Российской Федерации. В соответствии с пунктом «о» статьи 71 Конституции Российской Федерации гражданское законодательство находится в ведении Российской Федерации.</w:t>
      </w:r>
      <w:r/>
    </w:p>
    <w:p>
      <w:pPr>
        <w:ind w:left="0" w:right="0" w:firstLine="709"/>
        <w:jc w:val="both"/>
        <w:spacing w:line="57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3. В результате принятия законопроекта ожидается увеличение количества случаев размещения нестационарных торговых объектов в зданиях, находящихся в муниципальной собственности, и, как следствие, увеличение доходов местных бюджетов. При этом в силу предписа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ния части 1 статьи 2 Закона Удмуртской Республики № 61-РЗ (в редакции законопроекта) размещение таких объектов в зданиях по-прежнему будет являться невозможным без их включения в схему размещения нестационарных торговых объектов. В настоящее время такой вы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вод следует из части 1 статьи 10 Федерального закона № 381-ФЗ и Правил.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4. Частью 4 статьи 2 Закона Удмуртской Республ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ики № 61-РЗ предусмотрено, что договор на размещение НТО заключается по итогам аукциона на право заключения договора. При этом возможна как бумажная, так и электронная форма проведения торгов, критерии выбора «бумажной» или электронной формы не определены.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  Учитывая имеющуюся в законодательстве Российской Федерации тенденцию перевода торгов по предоставлению прав на государственное и муниципальное имущество в электронную форму (например в соответствии с ч.1 ст. 39.13 Земельного кодекса Российской Федерации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аукцион по продаже земельного участка, находящегося в государственной или муниципальной собственности, аукцион на право заключения договора аренды земельного участка, находящегося в государственной или муниципальной собственности, проводятся в электронной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форме), с целью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обеспечения равного доступа потенциальных участников торгов к объектам публичной собственности,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увеличения числа участников, повышения прозрачности процедур торгов предлагается установить  электронную форму проведения аукциона.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Принятие законопроекта не потребует дополнительного финансирования из средств бюджета Удмуртской Республики и местных бюджетов.</w:t>
      </w:r>
      <w:r/>
    </w:p>
    <w:p>
      <w:pPr>
        <w:pStyle w:val="786"/>
        <w:ind w:right="-1"/>
        <w:jc w:val="both"/>
        <w:tabs>
          <w:tab w:val="clear" w:pos="709" w:leader="none"/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1"/>
        <w:jc w:val="both"/>
        <w:tabs>
          <w:tab w:val="clear" w:pos="709" w:leader="none"/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6"/>
        <w:ind w:right="-1"/>
        <w:jc w:val="both"/>
        <w:tabs>
          <w:tab w:val="clear" w:pos="709" w:leader="none"/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786"/>
        <w:ind w:right="-1"/>
        <w:jc w:val="both"/>
        <w:tabs>
          <w:tab w:val="clear" w:pos="709" w:leader="none"/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8" w:type="dxa"/>
            <w:textDirection w:val="lrTb"/>
            <w:noWrap w:val="false"/>
          </w:tcPr>
          <w:p>
            <w:pPr>
              <w:pStyle w:val="786"/>
              <w:jc w:val="left"/>
              <w:spacing w:before="0" w:after="0"/>
              <w:widowControl/>
              <w:rPr>
                <w:rFonts w:ascii="PT Astra Serif" w:hAnsi="PT Astra Serif" w:cs="Times New Roman"/>
                <w:lang w:val="ru-RU" w:eastAsia="en-US" w:bidi="ar-SA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Проект вносит:</w:t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</w:p>
          <w:p>
            <w:pPr>
              <w:pStyle w:val="786"/>
              <w:numPr>
                <w:ilvl w:val="0"/>
                <w:numId w:val="0"/>
              </w:numPr>
              <w:jc w:val="left"/>
              <w:spacing w:before="0" w:after="0"/>
              <w:widowControl/>
              <w:rPr>
                <w:rFonts w:ascii="PT Astra Serif" w:hAnsi="PT Astra Serif" w:cs="Times New Roman"/>
                <w:lang w:val="ru-RU" w:eastAsia="en-US" w:bidi="ar-SA"/>
              </w:rPr>
              <w:outlineLvl w:val="0"/>
            </w:pPr>
            <w:r/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/>
              </w:sdtPr>
              <w:sdtContent>
                <w:r>
                  <w:rPr>
                    <w:rFonts w:ascii="PT Astra Serif" w:hAnsi="PT Astra Serif" w:cs="Times New Roman"/>
                    <w:lang w:val="ru-RU" w:eastAsia="en-US" w:bidi="ar-SA"/>
                  </w:rPr>
                </w:r>
                <w:r>
                  <w:rPr>
                    <w:rFonts w:ascii="PT Astra Serif" w:hAnsi="PT Astra Serif" w:cs="Times New Roman"/>
                    <w:lang w:val="ru-RU" w:eastAsia="en-US" w:bidi="ar-SA"/>
                  </w:rPr>
                  <w:t xml:space="preserve">Министр</w:t>
                </w:r>
              </w:sdtContent>
            </w:sdt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 промышленности и торговли </w:t>
              <w:br/>
              <w:t xml:space="preserve">Удмуртской Республики</w:t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5" w:type="dxa"/>
            <w:textDirection w:val="lrTb"/>
            <w:noWrap w:val="false"/>
          </w:tcPr>
          <w:p>
            <w:pPr>
              <w:pStyle w:val="786"/>
              <w:jc w:val="left"/>
              <w:spacing w:before="0" w:after="0"/>
              <w:widowControl/>
              <w:rPr>
                <w:rFonts w:ascii="PT Astra Serif" w:hAnsi="PT Astra Serif" w:cs="Times New Roman"/>
                <w:lang w:val="ru-RU" w:eastAsia="en-US" w:bidi="ar-SA"/>
              </w:rPr>
            </w:pPr>
            <w:r>
              <w:rPr>
                <w:rFonts w:ascii="PT Astra Serif" w:hAnsi="PT Astra Serif" w:cs="Times New Roman"/>
                <w:lang w:val="en-US" w:eastAsia="en-US" w:bidi="ar-SA"/>
              </w:rPr>
              <w:t xml:space="preserve">SS</w:t>
            </w: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^</w:t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5" w:type="dxa"/>
            <w:vAlign w:val="bottom"/>
            <w:textDirection w:val="lrTb"/>
            <w:noWrap w:val="false"/>
          </w:tcPr>
          <w:p>
            <w:pPr>
              <w:pStyle w:val="786"/>
              <w:jc w:val="right"/>
              <w:spacing w:before="0" w:after="0"/>
              <w:widowControl/>
              <w:rPr>
                <w:rFonts w:ascii="PT Astra Serif" w:hAnsi="PT Astra Serif" w:cs="Times New Roman"/>
                <w:lang w:val="ru-RU" w:eastAsia="en-US" w:bidi="ar-SA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fldChar w:fldCharType="begin"/>
            </w:r>
            <w:r>
              <w:rPr>
                <w:rFonts w:ascii="PT Astra Serif" w:hAnsi="PT Astra Serif" w:cs="Times New Roman"/>
                <w:lang w:val="ru-RU" w:eastAsia="en-US" w:bidi="ar-SA"/>
              </w:rPr>
              <w:instrText xml:space="preserve"> FILLIN ""</w:instrText>
            </w:r>
            <w:r>
              <w:rPr>
                <w:rFonts w:ascii="PT Astra Serif" w:hAnsi="PT Astra Serif" w:cs="Times New Roman"/>
                <w:lang w:val="ru-RU" w:eastAsia="en-US" w:bidi="ar-SA"/>
              </w:rPr>
              <w:fldChar w:fldCharType="separate"/>
            </w: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В.А. Лашкарев</w:t>
            </w:r>
            <w:r>
              <w:rPr>
                <w:rFonts w:ascii="PT Astra Serif" w:hAnsi="PT Astra Serif" w:cs="Times New Roman"/>
                <w:lang w:val="ru-RU" w:eastAsia="en-US" w:bidi="ar-SA"/>
              </w:rPr>
              <w:fldChar w:fldCharType="end"/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  <w:r>
              <w:rPr>
                <w:rFonts w:ascii="PT Astra Serif" w:hAnsi="PT Astra Serif" w:cs="Times New Roman"/>
                <w:lang w:val="ru-RU" w:eastAsia="en-US" w:bidi="ar-SA"/>
              </w:rPr>
            </w:r>
          </w:p>
        </w:tc>
      </w:tr>
    </w:tbl>
    <w:p>
      <w:pPr>
        <w:pStyle w:val="786"/>
        <w:ind w:right="-1"/>
        <w:jc w:val="both"/>
        <w:tabs>
          <w:tab w:val="clear" w:pos="709" w:leader="none"/>
          <w:tab w:val="left" w:pos="18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020" w:right="567" w:bottom="96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nsolas">
    <w:panose1 w:val="020B0604020202020204"/>
  </w:font>
  <w:font w:name="Lohit Devanagari">
    <w:panose1 w:val="020B0600000000000000"/>
  </w:font>
  <w:font w:name="Open Sans">
    <w:panose1 w:val="020B0606030504020204"/>
  </w:font>
  <w:font w:name="Tahoma">
    <w:panose1 w:val="020B0604020202020204"/>
  </w:font>
  <w:font w:name="Cambria">
    <w:panose1 w:val="020405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68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873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6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787">
    <w:name w:val="Heading 1"/>
    <w:basedOn w:val="849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788">
    <w:name w:val="Heading 2"/>
    <w:basedOn w:val="849"/>
    <w:qFormat/>
    <w:pPr>
      <w:keepNext/>
      <w:spacing w:before="400" w:after="120"/>
      <w:outlineLvl w:val="1"/>
    </w:pPr>
    <w:rPr>
      <w:color w:val="1f497d"/>
    </w:rPr>
  </w:style>
  <w:style w:type="paragraph" w:styleId="789">
    <w:name w:val="Heading 3"/>
    <w:basedOn w:val="849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90">
    <w:name w:val="Heading 4"/>
    <w:basedOn w:val="78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91">
    <w:name w:val="Heading 5"/>
    <w:basedOn w:val="786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792">
    <w:name w:val="Heading 6"/>
    <w:basedOn w:val="786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793">
    <w:name w:val="Heading 7"/>
    <w:basedOn w:val="786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794">
    <w:name w:val="Heading 8"/>
    <w:basedOn w:val="786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795">
    <w:name w:val="Heading 9"/>
    <w:basedOn w:val="786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796">
    <w:name w:val="Heading 1 Char"/>
    <w:basedOn w:val="818"/>
    <w:uiPriority w:val="9"/>
    <w:qFormat/>
    <w:rPr>
      <w:rFonts w:ascii="Arial" w:hAnsi="Arial" w:eastAsia="Arial" w:cs="Arial"/>
      <w:sz w:val="40"/>
      <w:szCs w:val="40"/>
    </w:rPr>
  </w:style>
  <w:style w:type="character" w:styleId="797">
    <w:name w:val="Heading 2 Char"/>
    <w:basedOn w:val="818"/>
    <w:uiPriority w:val="9"/>
    <w:qFormat/>
    <w:rPr>
      <w:rFonts w:ascii="Arial" w:hAnsi="Arial" w:eastAsia="Arial" w:cs="Arial"/>
      <w:sz w:val="34"/>
    </w:rPr>
  </w:style>
  <w:style w:type="character" w:styleId="798">
    <w:name w:val="Heading 3 Char"/>
    <w:basedOn w:val="818"/>
    <w:uiPriority w:val="9"/>
    <w:qFormat/>
    <w:rPr>
      <w:rFonts w:ascii="Arial" w:hAnsi="Arial" w:eastAsia="Arial" w:cs="Arial"/>
      <w:sz w:val="30"/>
      <w:szCs w:val="30"/>
    </w:rPr>
  </w:style>
  <w:style w:type="character" w:styleId="799">
    <w:name w:val="Heading 4 Char"/>
    <w:basedOn w:val="8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0">
    <w:name w:val="Heading 5 Char"/>
    <w:basedOn w:val="8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1">
    <w:name w:val="Heading 6 Char"/>
    <w:basedOn w:val="8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2">
    <w:name w:val="Heading 7 Char"/>
    <w:basedOn w:val="8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8 Char"/>
    <w:basedOn w:val="8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4">
    <w:name w:val="Heading 9 Char"/>
    <w:basedOn w:val="8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5">
    <w:name w:val="Title Char"/>
    <w:basedOn w:val="818"/>
    <w:uiPriority w:val="10"/>
    <w:qFormat/>
    <w:rPr>
      <w:sz w:val="48"/>
      <w:szCs w:val="48"/>
    </w:rPr>
  </w:style>
  <w:style w:type="character" w:styleId="806">
    <w:name w:val="Subtitle Char"/>
    <w:basedOn w:val="818"/>
    <w:uiPriority w:val="11"/>
    <w:qFormat/>
    <w:rPr>
      <w:sz w:val="24"/>
      <w:szCs w:val="24"/>
    </w:rPr>
  </w:style>
  <w:style w:type="character" w:styleId="807">
    <w:name w:val="Quote Char"/>
    <w:uiPriority w:val="29"/>
    <w:qFormat/>
    <w:rPr>
      <w:i/>
    </w:rPr>
  </w:style>
  <w:style w:type="character" w:styleId="808">
    <w:name w:val="Intense Quote Char"/>
    <w:uiPriority w:val="30"/>
    <w:qFormat/>
    <w:rPr>
      <w:i/>
    </w:rPr>
  </w:style>
  <w:style w:type="character" w:styleId="809">
    <w:name w:val="Header Char"/>
    <w:basedOn w:val="818"/>
    <w:uiPriority w:val="99"/>
    <w:qFormat/>
  </w:style>
  <w:style w:type="character" w:styleId="810">
    <w:name w:val="Footer Char"/>
    <w:basedOn w:val="818"/>
    <w:uiPriority w:val="99"/>
    <w:qFormat/>
  </w:style>
  <w:style w:type="character" w:styleId="811">
    <w:name w:val="Caption Char"/>
    <w:uiPriority w:val="99"/>
    <w:qFormat/>
  </w:style>
  <w:style w:type="character" w:styleId="812">
    <w:name w:val="Footnote Text Char"/>
    <w:uiPriority w:val="99"/>
    <w:qFormat/>
    <w:rPr>
      <w:sz w:val="18"/>
    </w:rPr>
  </w:style>
  <w:style w:type="character" w:styleId="813">
    <w:name w:val="Символ сноски"/>
    <w:uiPriority w:val="99"/>
    <w:unhideWhenUsed/>
    <w:qFormat/>
    <w:rPr>
      <w:vertAlign w:val="superscript"/>
    </w:rPr>
  </w:style>
  <w:style w:type="character" w:styleId="814">
    <w:name w:val="footnote reference"/>
    <w:rPr>
      <w:vertAlign w:val="superscript"/>
    </w:rPr>
  </w:style>
  <w:style w:type="character" w:styleId="815">
    <w:name w:val="Endnote Text Char"/>
    <w:uiPriority w:val="99"/>
    <w:qFormat/>
    <w:rPr>
      <w:sz w:val="20"/>
    </w:rPr>
  </w:style>
  <w:style w:type="character" w:styleId="81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7">
    <w:name w:val="endnote reference"/>
    <w:rPr>
      <w:vertAlign w:val="superscript"/>
    </w:rPr>
  </w:style>
  <w:style w:type="character" w:styleId="818" w:default="1">
    <w:name w:val="Default Paragraph Font"/>
    <w:uiPriority w:val="1"/>
    <w:semiHidden/>
    <w:unhideWhenUsed/>
    <w:qFormat/>
  </w:style>
  <w:style w:type="character" w:styleId="819" w:customStyle="1">
    <w:name w:val="Заголовок 1 Знак"/>
    <w:basedOn w:val="818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820" w:customStyle="1">
    <w:name w:val="Верхний колонтитул Знак"/>
    <w:qFormat/>
    <w:rPr>
      <w:rFonts w:ascii="Arial" w:hAnsi="Arial" w:eastAsia="Calibri"/>
      <w:color w:val="404040"/>
      <w:sz w:val="18"/>
    </w:rPr>
  </w:style>
  <w:style w:type="character" w:styleId="821" w:customStyle="1">
    <w:name w:val="Заголовок 2 Знак"/>
    <w:basedOn w:val="818"/>
    <w:qFormat/>
    <w:rPr>
      <w:rFonts w:ascii="Arial" w:hAnsi="Arial" w:eastAsia="Times New Roman"/>
      <w:color w:val="1f497d"/>
      <w:sz w:val="28"/>
      <w:lang w:eastAsia="ru-RU"/>
    </w:rPr>
  </w:style>
  <w:style w:type="character" w:styleId="822">
    <w:name w:val="Hyperlink"/>
    <w:basedOn w:val="818"/>
    <w:qFormat/>
    <w:rPr>
      <w:rFonts w:eastAsia="Times New Roman"/>
      <w:color w:val="4f81bd"/>
      <w:u w:val="single"/>
      <w:lang w:val="ru-RU" w:eastAsia="ru-RU"/>
    </w:rPr>
  </w:style>
  <w:style w:type="character" w:styleId="823" w:customStyle="1">
    <w:name w:val="Заголовок 3 Знак"/>
    <w:basedOn w:val="818"/>
    <w:qFormat/>
    <w:rPr>
      <w:rFonts w:ascii="Arial" w:hAnsi="Arial" w:eastAsia="Times New Roman"/>
      <w:color w:val="1f497d"/>
      <w:sz w:val="24"/>
      <w:lang w:eastAsia="ru-RU"/>
    </w:rPr>
  </w:style>
  <w:style w:type="character" w:styleId="824" w:customStyle="1">
    <w:name w:val="Заголовок 4 Знак"/>
    <w:basedOn w:val="818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825" w:customStyle="1">
    <w:name w:val="Заголовок 5 Знак"/>
    <w:basedOn w:val="818"/>
    <w:qFormat/>
    <w:rPr>
      <w:rFonts w:ascii="Arial" w:hAnsi="Arial" w:eastAsia="Times New Roman"/>
      <w:b/>
      <w:color w:val="1f497d"/>
      <w:lang w:eastAsia="ru-RU"/>
    </w:rPr>
  </w:style>
  <w:style w:type="character" w:styleId="826" w:customStyle="1">
    <w:name w:val="Основной текст Знак"/>
    <w:basedOn w:val="818"/>
    <w:qFormat/>
    <w:rPr>
      <w:rFonts w:ascii="Arial" w:hAnsi="Arial" w:eastAsia="Times New Roman"/>
      <w:lang w:eastAsia="ru-RU"/>
    </w:rPr>
  </w:style>
  <w:style w:type="character" w:styleId="827">
    <w:name w:val="annotation reference"/>
    <w:basedOn w:val="818"/>
    <w:uiPriority w:val="99"/>
    <w:semiHidden/>
    <w:qFormat/>
    <w:rPr>
      <w:sz w:val="16"/>
      <w:szCs w:val="16"/>
    </w:rPr>
  </w:style>
  <w:style w:type="character" w:styleId="828" w:customStyle="1">
    <w:name w:val="Кнопка Знак"/>
    <w:basedOn w:val="826"/>
    <w:qFormat/>
    <w:rPr>
      <w:rFonts w:ascii="Arial" w:hAnsi="Arial" w:eastAsia="Times New Roman"/>
      <w:b/>
      <w:u w:val="single"/>
      <w:lang w:eastAsia="ru-RU"/>
    </w:rPr>
  </w:style>
  <w:style w:type="character" w:styleId="829" w:customStyle="1">
    <w:name w:val="Заголовок Знак"/>
    <w:basedOn w:val="818"/>
    <w:qFormat/>
    <w:rPr>
      <w:rFonts w:ascii="Arial" w:hAnsi="Arial" w:eastAsia="Times New Roman"/>
      <w:color w:val="1f497d"/>
      <w:sz w:val="40"/>
      <w:lang w:eastAsia="ru-RU"/>
    </w:rPr>
  </w:style>
  <w:style w:type="character" w:styleId="830" w:customStyle="1">
    <w:name w:val="Название поля/пункт меню Знак"/>
    <w:basedOn w:val="826"/>
    <w:qFormat/>
    <w:rPr>
      <w:rFonts w:ascii="Arial" w:hAnsi="Arial" w:eastAsia="Times New Roman"/>
      <w:i/>
      <w:lang w:eastAsia="ru-RU"/>
    </w:rPr>
  </w:style>
  <w:style w:type="character" w:styleId="831" w:customStyle="1">
    <w:name w:val="Название справочника Знак"/>
    <w:basedOn w:val="826"/>
    <w:qFormat/>
    <w:rPr>
      <w:rFonts w:ascii="Arial" w:hAnsi="Arial" w:eastAsia="Times New Roman"/>
      <w:b/>
      <w:lang w:eastAsia="ru-RU"/>
    </w:rPr>
  </w:style>
  <w:style w:type="character" w:styleId="832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833" w:customStyle="1">
    <w:name w:val="Определение"/>
    <w:basedOn w:val="826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34" w:customStyle="1">
    <w:name w:val="Пояснение к заполнению"/>
    <w:basedOn w:val="818"/>
    <w:qFormat/>
    <w:rPr>
      <w:rFonts w:ascii="Arial" w:hAnsi="Arial"/>
      <w:i/>
      <w:color w:val="c0504d" w:themeColor="accent2"/>
      <w:sz w:val="20"/>
    </w:rPr>
  </w:style>
  <w:style w:type="character" w:styleId="835" w:customStyle="1">
    <w:name w:val="Схема документа Знак"/>
    <w:basedOn w:val="818"/>
    <w:uiPriority w:val="99"/>
    <w:semiHidden/>
    <w:qFormat/>
    <w:rPr>
      <w:rFonts w:ascii="Tahoma" w:hAnsi="Tahoma" w:cs="Tahoma"/>
      <w:sz w:val="16"/>
      <w:szCs w:val="16"/>
    </w:rPr>
  </w:style>
  <w:style w:type="character" w:styleId="836" w:customStyle="1">
    <w:name w:val="Таблица Основной Текст Знак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837" w:customStyle="1">
    <w:name w:val="Текст выноски Знак"/>
    <w:basedOn w:val="818"/>
    <w:uiPriority w:val="99"/>
    <w:semiHidden/>
    <w:qFormat/>
    <w:rPr>
      <w:rFonts w:ascii="Tahoma" w:hAnsi="Tahoma" w:cs="Tahoma"/>
      <w:sz w:val="16"/>
      <w:szCs w:val="16"/>
    </w:rPr>
  </w:style>
  <w:style w:type="character" w:styleId="838" w:customStyle="1">
    <w:name w:val="Текст примечания Знак"/>
    <w:basedOn w:val="818"/>
    <w:uiPriority w:val="99"/>
    <w:semiHidden/>
    <w:qFormat/>
    <w:rPr>
      <w:rFonts w:ascii="Arial" w:hAnsi="Arial" w:eastAsia="Times New Roman"/>
      <w:lang w:eastAsia="ru-RU"/>
    </w:rPr>
  </w:style>
  <w:style w:type="character" w:styleId="839" w:customStyle="1">
    <w:name w:val="Тема примечания Знак"/>
    <w:basedOn w:val="838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840" w:customStyle="1">
    <w:name w:val="Участник процесса"/>
    <w:basedOn w:val="826"/>
    <w:qFormat/>
    <w:rPr>
      <w:rFonts w:ascii="Arial" w:hAnsi="Arial" w:eastAsia="Times New Roman"/>
      <w:b/>
      <w:i/>
      <w:sz w:val="20"/>
      <w:lang w:val="ru-RU" w:eastAsia="ru-RU"/>
    </w:rPr>
  </w:style>
  <w:style w:type="character" w:styleId="841" w:customStyle="1">
    <w:name w:val="Заголовок 6 Знак"/>
    <w:basedOn w:val="818"/>
    <w:uiPriority w:val="99"/>
    <w:semiHidden/>
    <w:qFormat/>
    <w:rPr>
      <w:rFonts w:ascii="Arial" w:hAnsi="Arial" w:eastAsia="Times New Roman"/>
      <w:lang w:eastAsia="ru-RU"/>
    </w:rPr>
  </w:style>
  <w:style w:type="character" w:styleId="842" w:customStyle="1">
    <w:name w:val="Заголовок 7 Знак"/>
    <w:basedOn w:val="818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843" w:customStyle="1">
    <w:name w:val="Заголовок 8 Знак"/>
    <w:basedOn w:val="818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844" w:customStyle="1">
    <w:name w:val="Заголовок 9 Знак"/>
    <w:basedOn w:val="818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845" w:customStyle="1">
    <w:name w:val="Название Знак"/>
    <w:basedOn w:val="818"/>
    <w:qFormat/>
    <w:rPr>
      <w:rFonts w:eastAsia="Times New Roman"/>
      <w:b/>
      <w:sz w:val="28"/>
    </w:rPr>
  </w:style>
  <w:style w:type="character" w:styleId="846">
    <w:name w:val="line number"/>
    <w:basedOn w:val="818"/>
    <w:semiHidden/>
    <w:unhideWhenUsed/>
    <w:qFormat/>
  </w:style>
  <w:style w:type="character" w:styleId="847">
    <w:name w:val="Placeholder Text"/>
    <w:basedOn w:val="818"/>
    <w:uiPriority w:val="99"/>
    <w:semiHidden/>
    <w:qFormat/>
    <w:rPr>
      <w:color w:val="808080"/>
    </w:rPr>
  </w:style>
  <w:style w:type="paragraph" w:styleId="848">
    <w:name w:val="Заголовок"/>
    <w:basedOn w:val="786"/>
    <w:next w:val="849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49">
    <w:name w:val="Body Text"/>
    <w:basedOn w:val="786"/>
    <w:qFormat/>
    <w:rPr>
      <w:rFonts w:eastAsia="Times New Roman"/>
      <w:lang w:eastAsia="ru-RU"/>
    </w:rPr>
  </w:style>
  <w:style w:type="paragraph" w:styleId="850">
    <w:name w:val="List"/>
    <w:basedOn w:val="849"/>
    <w:rPr>
      <w:rFonts w:cs="Lohit Devanagari"/>
    </w:rPr>
  </w:style>
  <w:style w:type="paragraph" w:styleId="851">
    <w:name w:val="Caption"/>
    <w:basedOn w:val="786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52">
    <w:name w:val="Указатель"/>
    <w:basedOn w:val="786"/>
    <w:qFormat/>
    <w:pPr>
      <w:suppressLineNumbers/>
    </w:pPr>
    <w:rPr>
      <w:rFonts w:cs="Lohit Devanagari"/>
    </w:rPr>
  </w:style>
  <w:style w:type="paragraph" w:styleId="85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54">
    <w:name w:val="Subtitle"/>
    <w:basedOn w:val="786"/>
    <w:uiPriority w:val="11"/>
    <w:qFormat/>
    <w:pPr>
      <w:spacing w:before="200" w:after="200"/>
    </w:pPr>
    <w:rPr>
      <w:sz w:val="24"/>
      <w:szCs w:val="24"/>
    </w:rPr>
  </w:style>
  <w:style w:type="paragraph" w:styleId="855">
    <w:name w:val="Quote"/>
    <w:basedOn w:val="786"/>
    <w:uiPriority w:val="29"/>
    <w:qFormat/>
    <w:pPr>
      <w:ind w:left="720" w:right="720"/>
    </w:pPr>
    <w:rPr>
      <w:i/>
    </w:rPr>
  </w:style>
  <w:style w:type="paragraph" w:styleId="856">
    <w:name w:val="Intense Quote"/>
    <w:basedOn w:val="786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7">
    <w:name w:val="footnote text"/>
    <w:basedOn w:val="7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8">
    <w:name w:val="endnote text"/>
    <w:basedOn w:val="78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9">
    <w:name w:val="toc 8"/>
    <w:basedOn w:val="786"/>
    <w:uiPriority w:val="39"/>
    <w:unhideWhenUsed/>
    <w:pPr>
      <w:ind w:left="1984" w:right="0" w:firstLine="0"/>
      <w:spacing w:before="0" w:after="57"/>
    </w:pPr>
  </w:style>
  <w:style w:type="paragraph" w:styleId="860">
    <w:name w:val="Index Heading"/>
    <w:basedOn w:val="848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62">
    <w:name w:val="table of figures"/>
    <w:basedOn w:val="786"/>
    <w:uiPriority w:val="99"/>
    <w:unhideWhenUsed/>
    <w:pPr>
      <w:spacing w:before="0" w:after="0" w:afterAutospacing="0"/>
    </w:pPr>
  </w:style>
  <w:style w:type="paragraph" w:styleId="863">
    <w:name w:val="List Paragraph"/>
    <w:basedOn w:val="786"/>
    <w:uiPriority w:val="99"/>
    <w:semiHidden/>
    <w:qFormat/>
    <w:pPr>
      <w:ind w:left="709" w:hanging="284"/>
      <w:spacing w:before="60" w:after="0"/>
    </w:pPr>
  </w:style>
  <w:style w:type="paragraph" w:styleId="864">
    <w:name w:val="Колонтитул"/>
    <w:basedOn w:val="786"/>
    <w:qFormat/>
  </w:style>
  <w:style w:type="paragraph" w:styleId="865">
    <w:name w:val="Header"/>
    <w:basedOn w:val="786"/>
    <w:pPr>
      <w:tabs>
        <w:tab w:val="clear" w:pos="709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66" w:customStyle="1">
    <w:name w:val="Заголовок этапа ТМ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867" w:customStyle="1">
    <w:name w:val="Кнопка"/>
    <w:basedOn w:val="849"/>
    <w:qFormat/>
    <w:rPr>
      <w:b/>
      <w:u w:val="single"/>
    </w:rPr>
  </w:style>
  <w:style w:type="paragraph" w:styleId="868">
    <w:name w:val="List Bullet"/>
    <w:basedOn w:val="863"/>
    <w:qFormat/>
    <w:pPr>
      <w:numPr>
        <w:ilvl w:val="0"/>
        <w:numId w:val="1"/>
      </w:numPr>
    </w:pPr>
  </w:style>
  <w:style w:type="paragraph" w:styleId="869">
    <w:name w:val="Title"/>
    <w:basedOn w:val="849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870" w:customStyle="1">
    <w:name w:val="Название поля/пункт меню"/>
    <w:basedOn w:val="849"/>
    <w:qFormat/>
    <w:rPr>
      <w:i/>
    </w:rPr>
  </w:style>
  <w:style w:type="paragraph" w:styleId="871" w:customStyle="1">
    <w:name w:val="Название справочника"/>
    <w:basedOn w:val="849"/>
    <w:qFormat/>
    <w:rPr>
      <w:b/>
    </w:rPr>
  </w:style>
  <w:style w:type="paragraph" w:styleId="872">
    <w:name w:val="Footer"/>
    <w:basedOn w:val="786"/>
    <w:pPr>
      <w:tabs>
        <w:tab w:val="clear" w:pos="709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73">
    <w:name w:val="List Number"/>
    <w:basedOn w:val="863"/>
    <w:pPr>
      <w:numPr>
        <w:ilvl w:val="0"/>
        <w:numId w:val="2"/>
      </w:numPr>
      <w:spacing w:before="160" w:after="0"/>
    </w:pPr>
  </w:style>
  <w:style w:type="paragraph" w:styleId="874">
    <w:name w:val="toc 1"/>
    <w:basedOn w:val="786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875">
    <w:name w:val="toc 2"/>
    <w:basedOn w:val="786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876">
    <w:name w:val="toc 3"/>
    <w:basedOn w:val="786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877">
    <w:name w:val="toc 4"/>
    <w:basedOn w:val="786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878">
    <w:name w:val="toc 5"/>
    <w:basedOn w:val="786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879">
    <w:name w:val="toc 6"/>
    <w:basedOn w:val="786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880">
    <w:name w:val="toc 7"/>
    <w:basedOn w:val="786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881">
    <w:name w:val="toc 9"/>
    <w:basedOn w:val="786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882" w:customStyle="1">
    <w:name w:val="Описание этапа ТМ"/>
    <w:basedOn w:val="849"/>
    <w:qFormat/>
  </w:style>
  <w:style w:type="paragraph" w:styleId="883" w:customStyle="1">
    <w:name w:val="Пример кода"/>
    <w:basedOn w:val="849"/>
    <w:qFormat/>
    <w:pPr>
      <w:shd w:val="clear" w:color="auto" w:fill="f2f2f2"/>
    </w:pPr>
    <w:rPr>
      <w:rFonts w:ascii="Consolas" w:hAnsi="Consolas"/>
    </w:rPr>
  </w:style>
  <w:style w:type="paragraph" w:styleId="884" w:customStyle="1">
    <w:name w:val="Примечание"/>
    <w:basedOn w:val="849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885">
    <w:name w:val="Document Map"/>
    <w:basedOn w:val="786"/>
    <w:uiPriority w:val="99"/>
    <w:semiHidden/>
    <w:qFormat/>
    <w:rPr>
      <w:rFonts w:ascii="Tahoma" w:hAnsi="Tahoma" w:cs="Tahoma"/>
      <w:sz w:val="16"/>
      <w:szCs w:val="16"/>
    </w:rPr>
  </w:style>
  <w:style w:type="paragraph" w:styleId="886" w:customStyle="1">
    <w:name w:val="Таблица Заголовок"/>
    <w:basedOn w:val="849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887" w:customStyle="1">
    <w:name w:val="Таблица Основной Текст"/>
    <w:basedOn w:val="849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88" w:customStyle="1">
    <w:name w:val="Таблица Основной текс По центру"/>
    <w:basedOn w:val="887"/>
    <w:uiPriority w:val="99"/>
    <w:semiHidden/>
    <w:qFormat/>
    <w:pPr>
      <w:jc w:val="center"/>
    </w:pPr>
  </w:style>
  <w:style w:type="paragraph" w:styleId="889">
    <w:name w:val="Balloon Text"/>
    <w:basedOn w:val="786"/>
    <w:uiPriority w:val="99"/>
    <w:semiHidden/>
    <w:qFormat/>
    <w:rPr>
      <w:rFonts w:ascii="Tahoma" w:hAnsi="Tahoma" w:cs="Tahoma"/>
      <w:sz w:val="16"/>
      <w:szCs w:val="16"/>
    </w:rPr>
  </w:style>
  <w:style w:type="paragraph" w:styleId="890">
    <w:name w:val="annotation text"/>
    <w:basedOn w:val="786"/>
    <w:uiPriority w:val="99"/>
    <w:semiHidden/>
    <w:qFormat/>
    <w:rPr>
      <w:rFonts w:eastAsia="Times New Roman"/>
      <w:lang w:eastAsia="ru-RU"/>
    </w:rPr>
  </w:style>
  <w:style w:type="paragraph" w:styleId="891" w:customStyle="1">
    <w:name w:val="Текст таблицы"/>
    <w:basedOn w:val="849"/>
    <w:uiPriority w:val="99"/>
    <w:qFormat/>
  </w:style>
  <w:style w:type="paragraph" w:styleId="892">
    <w:name w:val="annotation subject"/>
    <w:basedOn w:val="890"/>
    <w:uiPriority w:val="99"/>
    <w:semiHidden/>
    <w:qFormat/>
    <w:rPr>
      <w:b/>
      <w:bCs/>
    </w:rPr>
  </w:style>
  <w:style w:type="paragraph" w:styleId="893" w:customStyle="1">
    <w:name w:val="Титульный Логотип системы"/>
    <w:basedOn w:val="849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894" w:customStyle="1">
    <w:name w:val="Титульный Название книги"/>
    <w:basedOn w:val="849"/>
    <w:qFormat/>
    <w:pPr>
      <w:spacing w:before="0" w:after="80"/>
    </w:pPr>
    <w:rPr>
      <w:i/>
      <w:sz w:val="36"/>
    </w:rPr>
  </w:style>
  <w:style w:type="paragraph" w:styleId="895" w:customStyle="1">
    <w:name w:val="Титульный Название системы"/>
    <w:basedOn w:val="849"/>
    <w:qFormat/>
    <w:pPr>
      <w:ind w:left="567"/>
      <w:jc w:val="right"/>
    </w:pPr>
    <w:rPr>
      <w:sz w:val="52"/>
    </w:rPr>
  </w:style>
  <w:style w:type="paragraph" w:styleId="896" w:customStyle="1">
    <w:name w:val="Название рисунка"/>
    <w:basedOn w:val="849"/>
    <w:qFormat/>
    <w:pPr>
      <w:jc w:val="center"/>
    </w:pPr>
    <w:rPr>
      <w:bCs/>
      <w:i/>
      <w:iCs/>
    </w:rPr>
  </w:style>
  <w:style w:type="paragraph" w:styleId="897" w:customStyle="1">
    <w:name w:val="Титульный Продукт и год"/>
    <w:basedOn w:val="849"/>
    <w:qFormat/>
    <w:pPr>
      <w:jc w:val="center"/>
    </w:pPr>
    <w:rPr>
      <w:b/>
      <w:sz w:val="32"/>
      <w:szCs w:val="32"/>
    </w:rPr>
  </w:style>
  <w:style w:type="paragraph" w:styleId="898" w:customStyle="1">
    <w:name w:val="Рисунок"/>
    <w:basedOn w:val="786"/>
    <w:qFormat/>
    <w:pPr>
      <w:jc w:val="center"/>
      <w:keepLines/>
      <w:keepNext/>
      <w:widowControl w:val="off"/>
    </w:pPr>
    <w:rPr>
      <w:szCs w:val="22"/>
    </w:rPr>
  </w:style>
  <w:style w:type="paragraph" w:styleId="899" w:customStyle="1">
    <w:name w:val="StGen0"/>
    <w:basedOn w:val="786"/>
    <w:qFormat/>
    <w:pPr>
      <w:jc w:val="center"/>
    </w:pPr>
    <w:rPr>
      <w:rFonts w:eastAsia="Times New Roman"/>
      <w:b/>
      <w:szCs w:val="20"/>
    </w:rPr>
  </w:style>
  <w:style w:type="paragraph" w:styleId="900" w:customStyle="1">
    <w:name w:val="StGen1"/>
    <w:basedOn w:val="786"/>
    <w:qFormat/>
    <w:pPr>
      <w:jc w:val="center"/>
    </w:pPr>
    <w:rPr>
      <w:rFonts w:eastAsia="Times New Roman"/>
      <w:b/>
      <w:szCs w:val="20"/>
      <w:lang w:eastAsia="ru-RU"/>
    </w:rPr>
  </w:style>
  <w:style w:type="paragraph" w:styleId="901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Arial" w:hAnsi="Arial" w:eastAsia="Liberation Serif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4"/>
      <w:u w:val="none"/>
      <w:vertAlign w:val="baseline"/>
      <w:lang w:val="ru-RU" w:eastAsia="hi-IN" w:bidi="hi-IN"/>
      <w14:ligatures w14:val="none"/>
    </w:rPr>
  </w:style>
  <w:style w:type="paragraph" w:styleId="902" w:customStyle="1">
    <w:name w:val="ConsPlusTitle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zh-CN" w:bidi="ar-SA"/>
      <w14:ligatures w14:val="none"/>
    </w:rPr>
  </w:style>
  <w:style w:type="numbering" w:styleId="903" w:default="1">
    <w:name w:val="No List"/>
    <w:uiPriority w:val="99"/>
    <w:semiHidden/>
    <w:unhideWhenUsed/>
    <w:qFormat/>
  </w:style>
  <w:style w:type="numbering" w:styleId="904" w:customStyle="1">
    <w:name w:val="Список Маркеры (и номера)11"/>
    <w:qFormat/>
  </w:style>
  <w:style w:type="numbering" w:styleId="905" w:customStyle="1">
    <w:name w:val="Список эталон"/>
    <w:uiPriority w:val="99"/>
    <w:qFormat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57"/>
            </w:rPr>
            <w:t xml:space="preserve">Место для ввода текста.</w:t>
          </w:r>
          <w:r/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57"/>
            </w:rPr>
            <w:t xml:space="preserve">Место для ввода текста.</w:t>
          </w:r>
          <w:r/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58"/>
          </w:pPr>
          <w:r>
            <w:rPr>
              <w:rStyle w:val="1557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75">
    <w:name w:val="Heading 1"/>
    <w:basedOn w:val="1553"/>
    <w:next w:val="1553"/>
    <w:link w:val="13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76">
    <w:name w:val="Heading 1 Char"/>
    <w:basedOn w:val="1554"/>
    <w:link w:val="1375"/>
    <w:uiPriority w:val="9"/>
    <w:rPr>
      <w:rFonts w:ascii="Arial" w:hAnsi="Arial" w:eastAsia="Arial" w:cs="Arial"/>
      <w:sz w:val="40"/>
      <w:szCs w:val="40"/>
    </w:rPr>
  </w:style>
  <w:style w:type="paragraph" w:styleId="1377">
    <w:name w:val="Heading 2"/>
    <w:basedOn w:val="1553"/>
    <w:next w:val="1553"/>
    <w:link w:val="13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78">
    <w:name w:val="Heading 2 Char"/>
    <w:basedOn w:val="1554"/>
    <w:link w:val="1377"/>
    <w:uiPriority w:val="9"/>
    <w:rPr>
      <w:rFonts w:ascii="Arial" w:hAnsi="Arial" w:eastAsia="Arial" w:cs="Arial"/>
      <w:sz w:val="34"/>
    </w:rPr>
  </w:style>
  <w:style w:type="paragraph" w:styleId="1379">
    <w:name w:val="Heading 3"/>
    <w:basedOn w:val="1553"/>
    <w:next w:val="1553"/>
    <w:link w:val="13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0">
    <w:name w:val="Heading 3 Char"/>
    <w:basedOn w:val="1554"/>
    <w:link w:val="1379"/>
    <w:uiPriority w:val="9"/>
    <w:rPr>
      <w:rFonts w:ascii="Arial" w:hAnsi="Arial" w:eastAsia="Arial" w:cs="Arial"/>
      <w:sz w:val="30"/>
      <w:szCs w:val="30"/>
    </w:rPr>
  </w:style>
  <w:style w:type="paragraph" w:styleId="1381">
    <w:name w:val="Heading 4"/>
    <w:basedOn w:val="1553"/>
    <w:next w:val="1553"/>
    <w:link w:val="13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2">
    <w:name w:val="Heading 4 Char"/>
    <w:basedOn w:val="1554"/>
    <w:link w:val="1381"/>
    <w:uiPriority w:val="9"/>
    <w:rPr>
      <w:rFonts w:ascii="Arial" w:hAnsi="Arial" w:eastAsia="Arial" w:cs="Arial"/>
      <w:b/>
      <w:bCs/>
      <w:sz w:val="26"/>
      <w:szCs w:val="26"/>
    </w:rPr>
  </w:style>
  <w:style w:type="paragraph" w:styleId="1383">
    <w:name w:val="Heading 5"/>
    <w:basedOn w:val="1553"/>
    <w:next w:val="1553"/>
    <w:link w:val="13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84">
    <w:name w:val="Heading 5 Char"/>
    <w:basedOn w:val="1554"/>
    <w:link w:val="1383"/>
    <w:uiPriority w:val="9"/>
    <w:rPr>
      <w:rFonts w:ascii="Arial" w:hAnsi="Arial" w:eastAsia="Arial" w:cs="Arial"/>
      <w:b/>
      <w:bCs/>
      <w:sz w:val="24"/>
      <w:szCs w:val="24"/>
    </w:rPr>
  </w:style>
  <w:style w:type="paragraph" w:styleId="1385">
    <w:name w:val="Heading 6"/>
    <w:basedOn w:val="1553"/>
    <w:next w:val="1553"/>
    <w:link w:val="13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86">
    <w:name w:val="Heading 6 Char"/>
    <w:basedOn w:val="1554"/>
    <w:link w:val="1385"/>
    <w:uiPriority w:val="9"/>
    <w:rPr>
      <w:rFonts w:ascii="Arial" w:hAnsi="Arial" w:eastAsia="Arial" w:cs="Arial"/>
      <w:b/>
      <w:bCs/>
      <w:sz w:val="22"/>
      <w:szCs w:val="22"/>
    </w:rPr>
  </w:style>
  <w:style w:type="paragraph" w:styleId="1387">
    <w:name w:val="Heading 7"/>
    <w:basedOn w:val="1553"/>
    <w:next w:val="1553"/>
    <w:link w:val="13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88">
    <w:name w:val="Heading 7 Char"/>
    <w:basedOn w:val="1554"/>
    <w:link w:val="13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89">
    <w:name w:val="Heading 8"/>
    <w:basedOn w:val="1553"/>
    <w:next w:val="1553"/>
    <w:link w:val="13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0">
    <w:name w:val="Heading 8 Char"/>
    <w:basedOn w:val="1554"/>
    <w:link w:val="1389"/>
    <w:uiPriority w:val="9"/>
    <w:rPr>
      <w:rFonts w:ascii="Arial" w:hAnsi="Arial" w:eastAsia="Arial" w:cs="Arial"/>
      <w:i/>
      <w:iCs/>
      <w:sz w:val="22"/>
      <w:szCs w:val="22"/>
    </w:rPr>
  </w:style>
  <w:style w:type="paragraph" w:styleId="1391">
    <w:name w:val="Heading 9"/>
    <w:basedOn w:val="1553"/>
    <w:next w:val="1553"/>
    <w:link w:val="13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2">
    <w:name w:val="Heading 9 Char"/>
    <w:basedOn w:val="1554"/>
    <w:link w:val="1391"/>
    <w:uiPriority w:val="9"/>
    <w:rPr>
      <w:rFonts w:ascii="Arial" w:hAnsi="Arial" w:eastAsia="Arial" w:cs="Arial"/>
      <w:i/>
      <w:iCs/>
      <w:sz w:val="21"/>
      <w:szCs w:val="21"/>
    </w:rPr>
  </w:style>
  <w:style w:type="paragraph" w:styleId="1393">
    <w:name w:val="List Paragraph"/>
    <w:basedOn w:val="1553"/>
    <w:uiPriority w:val="34"/>
    <w:qFormat/>
    <w:pPr>
      <w:contextualSpacing/>
      <w:ind w:left="720"/>
    </w:pPr>
  </w:style>
  <w:style w:type="paragraph" w:styleId="1394">
    <w:name w:val="No Spacing"/>
    <w:uiPriority w:val="1"/>
    <w:qFormat/>
    <w:pPr>
      <w:spacing w:before="0" w:after="0" w:line="240" w:lineRule="auto"/>
    </w:pPr>
  </w:style>
  <w:style w:type="paragraph" w:styleId="1395">
    <w:name w:val="Title"/>
    <w:basedOn w:val="1553"/>
    <w:next w:val="1553"/>
    <w:link w:val="13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96">
    <w:name w:val="Title Char"/>
    <w:basedOn w:val="1554"/>
    <w:link w:val="1395"/>
    <w:uiPriority w:val="10"/>
    <w:rPr>
      <w:sz w:val="48"/>
      <w:szCs w:val="48"/>
    </w:rPr>
  </w:style>
  <w:style w:type="paragraph" w:styleId="1397">
    <w:name w:val="Subtitle"/>
    <w:basedOn w:val="1553"/>
    <w:next w:val="1553"/>
    <w:link w:val="1398"/>
    <w:uiPriority w:val="11"/>
    <w:qFormat/>
    <w:pPr>
      <w:spacing w:before="200" w:after="200"/>
    </w:pPr>
    <w:rPr>
      <w:sz w:val="24"/>
      <w:szCs w:val="24"/>
    </w:rPr>
  </w:style>
  <w:style w:type="character" w:styleId="1398">
    <w:name w:val="Subtitle Char"/>
    <w:basedOn w:val="1554"/>
    <w:link w:val="1397"/>
    <w:uiPriority w:val="11"/>
    <w:rPr>
      <w:sz w:val="24"/>
      <w:szCs w:val="24"/>
    </w:rPr>
  </w:style>
  <w:style w:type="paragraph" w:styleId="1399">
    <w:name w:val="Quote"/>
    <w:basedOn w:val="1553"/>
    <w:next w:val="1553"/>
    <w:link w:val="1400"/>
    <w:uiPriority w:val="29"/>
    <w:qFormat/>
    <w:pPr>
      <w:ind w:left="720" w:right="720"/>
    </w:pPr>
    <w:rPr>
      <w:i/>
    </w:rPr>
  </w:style>
  <w:style w:type="character" w:styleId="1400">
    <w:name w:val="Quote Char"/>
    <w:link w:val="1399"/>
    <w:uiPriority w:val="29"/>
    <w:rPr>
      <w:i/>
    </w:rPr>
  </w:style>
  <w:style w:type="paragraph" w:styleId="1401">
    <w:name w:val="Intense Quote"/>
    <w:basedOn w:val="1553"/>
    <w:next w:val="1553"/>
    <w:link w:val="14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2">
    <w:name w:val="Intense Quote Char"/>
    <w:link w:val="1401"/>
    <w:uiPriority w:val="30"/>
    <w:rPr>
      <w:i/>
    </w:rPr>
  </w:style>
  <w:style w:type="paragraph" w:styleId="1403">
    <w:name w:val="Header"/>
    <w:basedOn w:val="1553"/>
    <w:link w:val="14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04">
    <w:name w:val="Header Char"/>
    <w:basedOn w:val="1554"/>
    <w:link w:val="1403"/>
    <w:uiPriority w:val="99"/>
  </w:style>
  <w:style w:type="paragraph" w:styleId="1405">
    <w:name w:val="Footer"/>
    <w:basedOn w:val="1553"/>
    <w:link w:val="14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06">
    <w:name w:val="Footer Char"/>
    <w:basedOn w:val="1554"/>
    <w:link w:val="1405"/>
    <w:uiPriority w:val="99"/>
  </w:style>
  <w:style w:type="paragraph" w:styleId="1407">
    <w:name w:val="Caption"/>
    <w:basedOn w:val="1553"/>
    <w:next w:val="15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08">
    <w:name w:val="Caption Char"/>
    <w:basedOn w:val="1407"/>
    <w:link w:val="1405"/>
    <w:uiPriority w:val="99"/>
  </w:style>
  <w:style w:type="table" w:styleId="1409">
    <w:name w:val="Table Grid"/>
    <w:basedOn w:val="15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0">
    <w:name w:val="Table Grid Light"/>
    <w:basedOn w:val="15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1">
    <w:name w:val="Plain Table 1"/>
    <w:basedOn w:val="15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2">
    <w:name w:val="Plain Table 2"/>
    <w:basedOn w:val="15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3">
    <w:name w:val="Plain Table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4">
    <w:name w:val="Plain Table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5">
    <w:name w:val="Plain Table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16">
    <w:name w:val="Grid Table 1 Light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7">
    <w:name w:val="Grid Table 1 Light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8">
    <w:name w:val="Grid Table 1 Light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9">
    <w:name w:val="Grid Table 1 Light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Grid Table 1 Light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Grid Table 1 Light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Grid Table 1 Light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Grid Table 2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>
    <w:name w:val="Grid Table 2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>
    <w:name w:val="Grid Table 2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2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2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2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3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3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3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3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3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4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38">
    <w:name w:val="Grid Table 4 - Accent 1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39">
    <w:name w:val="Grid Table 4 - Accent 2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0">
    <w:name w:val="Grid Table 4 - Accent 3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1">
    <w:name w:val="Grid Table 4 - Accent 4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2">
    <w:name w:val="Grid Table 4 - Accent 5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3">
    <w:name w:val="Grid Table 4 - Accent 6"/>
    <w:basedOn w:val="15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44">
    <w:name w:val="Grid Table 5 Dark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45">
    <w:name w:val="Grid Table 5 Dark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46">
    <w:name w:val="Grid Table 5 Dark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47">
    <w:name w:val="Grid Table 5 Dark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48">
    <w:name w:val="Grid Table 5 Dark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49">
    <w:name w:val="Grid Table 5 Dark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50">
    <w:name w:val="Grid Table 5 Dark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51">
    <w:name w:val="Grid Table 6 Colorful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2">
    <w:name w:val="Grid Table 6 Colorful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3">
    <w:name w:val="Grid Table 6 Colorful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54">
    <w:name w:val="Grid Table 6 Colorful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55">
    <w:name w:val="Grid Table 6 Colorful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56">
    <w:name w:val="Grid Table 6 Colorful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57">
    <w:name w:val="Grid Table 6 Colorful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58">
    <w:name w:val="Grid Table 7 Colorful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7 Colorful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7 Colorful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7 Colorful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7 Colorful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7 Colorful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7 Colorful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List Table 1 Light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List Table 1 Light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List Table 1 Light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List Table 1 Light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List Table 1 Light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List Table 1 Light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3">
    <w:name w:val="List Table 2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74">
    <w:name w:val="List Table 2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75">
    <w:name w:val="List Table 2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76">
    <w:name w:val="List Table 2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77">
    <w:name w:val="List Table 2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78">
    <w:name w:val="List Table 2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79">
    <w:name w:val="List Table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3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List Table 3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List Table 3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3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List Table 3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3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4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4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4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4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4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5 Dark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4">
    <w:name w:val="List Table 5 Dark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5">
    <w:name w:val="List Table 5 Dark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6">
    <w:name w:val="List Table 5 Dark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7">
    <w:name w:val="List Table 5 Dark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8">
    <w:name w:val="List Table 5 Dark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9">
    <w:name w:val="List Table 5 Dark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6 Colorful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1">
    <w:name w:val="List Table 6 Colorful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2">
    <w:name w:val="List Table 6 Colorful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3">
    <w:name w:val="List Table 6 Colorful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04">
    <w:name w:val="List Table 6 Colorful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05">
    <w:name w:val="List Table 6 Colorful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06">
    <w:name w:val="List Table 6 Colorful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07">
    <w:name w:val="List Table 7 Colorful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08">
    <w:name w:val="List Table 7 Colorful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09">
    <w:name w:val="List Table 7 Colorful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0">
    <w:name w:val="List Table 7 Colorful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1">
    <w:name w:val="List Table 7 Colorful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2">
    <w:name w:val="List Table 7 Colorful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3">
    <w:name w:val="List Table 7 Colorful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4">
    <w:name w:val="Lined - Accent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15">
    <w:name w:val="Lined - Accent 1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16">
    <w:name w:val="Lined - Accent 2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17">
    <w:name w:val="Lined - Accent 3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18">
    <w:name w:val="Lined - Accent 4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19">
    <w:name w:val="Lined - Accent 5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0">
    <w:name w:val="Lined - Accent 6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1">
    <w:name w:val="Bordered &amp; Lined - Accent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2">
    <w:name w:val="Bordered &amp; Lined - Accent 1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3">
    <w:name w:val="Bordered &amp; Lined - Accent 2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4">
    <w:name w:val="Bordered &amp; Lined - Accent 3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5">
    <w:name w:val="Bordered &amp; Lined - Accent 4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6">
    <w:name w:val="Bordered &amp; Lined - Accent 5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7">
    <w:name w:val="Bordered &amp; Lined - Accent 6"/>
    <w:basedOn w:val="15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8">
    <w:name w:val="Bordered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29">
    <w:name w:val="Bordered - Accent 1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0">
    <w:name w:val="Bordered - Accent 2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1">
    <w:name w:val="Bordered - Accent 3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2">
    <w:name w:val="Bordered - Accent 4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3">
    <w:name w:val="Bordered - Accent 5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34">
    <w:name w:val="Bordered - Accent 6"/>
    <w:basedOn w:val="15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35">
    <w:name w:val="Hyperlink"/>
    <w:uiPriority w:val="99"/>
    <w:unhideWhenUsed/>
    <w:rPr>
      <w:color w:val="0000ff" w:themeColor="hyperlink"/>
      <w:u w:val="single"/>
    </w:rPr>
  </w:style>
  <w:style w:type="paragraph" w:styleId="1536">
    <w:name w:val="footnote text"/>
    <w:basedOn w:val="1553"/>
    <w:link w:val="1537"/>
    <w:uiPriority w:val="99"/>
    <w:semiHidden/>
    <w:unhideWhenUsed/>
    <w:pPr>
      <w:spacing w:after="40" w:line="240" w:lineRule="auto"/>
    </w:pPr>
    <w:rPr>
      <w:sz w:val="18"/>
    </w:rPr>
  </w:style>
  <w:style w:type="character" w:styleId="1537">
    <w:name w:val="Footnote Text Char"/>
    <w:link w:val="1536"/>
    <w:uiPriority w:val="99"/>
    <w:rPr>
      <w:sz w:val="18"/>
    </w:rPr>
  </w:style>
  <w:style w:type="character" w:styleId="1538">
    <w:name w:val="footnote reference"/>
    <w:basedOn w:val="1554"/>
    <w:uiPriority w:val="99"/>
    <w:unhideWhenUsed/>
    <w:rPr>
      <w:vertAlign w:val="superscript"/>
    </w:rPr>
  </w:style>
  <w:style w:type="paragraph" w:styleId="1539">
    <w:name w:val="endnote text"/>
    <w:basedOn w:val="1553"/>
    <w:link w:val="1540"/>
    <w:uiPriority w:val="99"/>
    <w:semiHidden/>
    <w:unhideWhenUsed/>
    <w:pPr>
      <w:spacing w:after="0" w:line="240" w:lineRule="auto"/>
    </w:pPr>
    <w:rPr>
      <w:sz w:val="20"/>
    </w:rPr>
  </w:style>
  <w:style w:type="character" w:styleId="1540">
    <w:name w:val="Endnote Text Char"/>
    <w:link w:val="1539"/>
    <w:uiPriority w:val="99"/>
    <w:rPr>
      <w:sz w:val="20"/>
    </w:rPr>
  </w:style>
  <w:style w:type="character" w:styleId="1541">
    <w:name w:val="endnote reference"/>
    <w:basedOn w:val="1554"/>
    <w:uiPriority w:val="99"/>
    <w:semiHidden/>
    <w:unhideWhenUsed/>
    <w:rPr>
      <w:vertAlign w:val="superscript"/>
    </w:rPr>
  </w:style>
  <w:style w:type="paragraph" w:styleId="1542">
    <w:name w:val="toc 1"/>
    <w:basedOn w:val="1553"/>
    <w:next w:val="1553"/>
    <w:uiPriority w:val="39"/>
    <w:unhideWhenUsed/>
    <w:pPr>
      <w:ind w:left="0" w:right="0" w:firstLine="0"/>
      <w:spacing w:after="57"/>
    </w:pPr>
  </w:style>
  <w:style w:type="paragraph" w:styleId="1543">
    <w:name w:val="toc 2"/>
    <w:basedOn w:val="1553"/>
    <w:next w:val="1553"/>
    <w:uiPriority w:val="39"/>
    <w:unhideWhenUsed/>
    <w:pPr>
      <w:ind w:left="283" w:right="0" w:firstLine="0"/>
      <w:spacing w:after="57"/>
    </w:pPr>
  </w:style>
  <w:style w:type="paragraph" w:styleId="1544">
    <w:name w:val="toc 3"/>
    <w:basedOn w:val="1553"/>
    <w:next w:val="1553"/>
    <w:uiPriority w:val="39"/>
    <w:unhideWhenUsed/>
    <w:pPr>
      <w:ind w:left="567" w:right="0" w:firstLine="0"/>
      <w:spacing w:after="57"/>
    </w:pPr>
  </w:style>
  <w:style w:type="paragraph" w:styleId="1545">
    <w:name w:val="toc 4"/>
    <w:basedOn w:val="1553"/>
    <w:next w:val="1553"/>
    <w:uiPriority w:val="39"/>
    <w:unhideWhenUsed/>
    <w:pPr>
      <w:ind w:left="850" w:right="0" w:firstLine="0"/>
      <w:spacing w:after="57"/>
    </w:pPr>
  </w:style>
  <w:style w:type="paragraph" w:styleId="1546">
    <w:name w:val="toc 5"/>
    <w:basedOn w:val="1553"/>
    <w:next w:val="1553"/>
    <w:uiPriority w:val="39"/>
    <w:unhideWhenUsed/>
    <w:pPr>
      <w:ind w:left="1134" w:right="0" w:firstLine="0"/>
      <w:spacing w:after="57"/>
    </w:pPr>
  </w:style>
  <w:style w:type="paragraph" w:styleId="1547">
    <w:name w:val="toc 6"/>
    <w:basedOn w:val="1553"/>
    <w:next w:val="1553"/>
    <w:uiPriority w:val="39"/>
    <w:unhideWhenUsed/>
    <w:pPr>
      <w:ind w:left="1417" w:right="0" w:firstLine="0"/>
      <w:spacing w:after="57"/>
    </w:pPr>
  </w:style>
  <w:style w:type="paragraph" w:styleId="1548">
    <w:name w:val="toc 7"/>
    <w:basedOn w:val="1553"/>
    <w:next w:val="1553"/>
    <w:uiPriority w:val="39"/>
    <w:unhideWhenUsed/>
    <w:pPr>
      <w:ind w:left="1701" w:right="0" w:firstLine="0"/>
      <w:spacing w:after="57"/>
    </w:pPr>
  </w:style>
  <w:style w:type="paragraph" w:styleId="1549">
    <w:name w:val="toc 8"/>
    <w:basedOn w:val="1553"/>
    <w:next w:val="1553"/>
    <w:uiPriority w:val="39"/>
    <w:unhideWhenUsed/>
    <w:pPr>
      <w:ind w:left="1984" w:right="0" w:firstLine="0"/>
      <w:spacing w:after="57"/>
    </w:pPr>
  </w:style>
  <w:style w:type="paragraph" w:styleId="1550">
    <w:name w:val="toc 9"/>
    <w:basedOn w:val="1553"/>
    <w:next w:val="1553"/>
    <w:uiPriority w:val="39"/>
    <w:unhideWhenUsed/>
    <w:pPr>
      <w:ind w:left="2268" w:right="0" w:firstLine="0"/>
      <w:spacing w:after="57"/>
    </w:pPr>
  </w:style>
  <w:style w:type="paragraph" w:styleId="1551">
    <w:name w:val="TOC Heading"/>
    <w:uiPriority w:val="39"/>
    <w:unhideWhenUsed/>
  </w:style>
  <w:style w:type="paragraph" w:styleId="1552">
    <w:name w:val="table of figures"/>
    <w:basedOn w:val="1553"/>
    <w:next w:val="1553"/>
    <w:uiPriority w:val="99"/>
    <w:unhideWhenUsed/>
    <w:pPr>
      <w:spacing w:after="0" w:afterAutospacing="0"/>
    </w:pPr>
  </w:style>
  <w:style w:type="paragraph" w:styleId="1553" w:default="1">
    <w:name w:val="Normal"/>
    <w:qFormat/>
  </w:style>
  <w:style w:type="character" w:styleId="1554" w:default="1">
    <w:name w:val="Default Paragraph Font"/>
    <w:uiPriority w:val="1"/>
    <w:semiHidden/>
    <w:unhideWhenUsed/>
  </w:style>
  <w:style w:type="table" w:styleId="15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56" w:default="1">
    <w:name w:val="No List"/>
    <w:uiPriority w:val="99"/>
    <w:semiHidden/>
    <w:unhideWhenUsed/>
  </w:style>
  <w:style w:type="character" w:styleId="1557">
    <w:name w:val="Placeholder Text"/>
    <w:basedOn w:val="1554"/>
    <w:uiPriority w:val="99"/>
    <w:semiHidden/>
    <w:rPr>
      <w:color w:val="808080"/>
    </w:rPr>
  </w:style>
  <w:style w:type="paragraph" w:styleId="1558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Пермякова Наталья</cp:lastModifiedBy>
  <cp:revision>20</cp:revision>
  <dcterms:created xsi:type="dcterms:W3CDTF">2024-08-21T06:42:00Z</dcterms:created>
  <dcterms:modified xsi:type="dcterms:W3CDTF">2025-11-12T12:54:08Z</dcterms:modified>
</cp:coreProperties>
</file>